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196B8" w14:textId="77777777" w:rsidR="00A6532B" w:rsidRDefault="002E09D2">
      <w:pPr>
        <w:jc w:val="right"/>
      </w:pPr>
      <w:r>
        <w:rPr>
          <w:b/>
          <w:bCs/>
        </w:rPr>
        <w:t>Policy: 2195P</w:t>
      </w:r>
      <w:r>
        <w:rPr>
          <w:b/>
          <w:bCs/>
        </w:rPr>
        <w:br/>
        <w:t>Section: 2000 - Instruction</w:t>
      </w:r>
    </w:p>
    <w:p w14:paraId="271FE909" w14:textId="77777777" w:rsidR="00A6532B" w:rsidRDefault="00EB54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194E9B93">
          <v:rect id="_x0000_i1025" style="width:0;height:1.5pt" o:hralign="center" o:hrstd="t" o:hr="t" fillcolor="#a0a0a0" stroked="f"/>
        </w:pict>
      </w:r>
    </w:p>
    <w:p w14:paraId="0E3BD018" w14:textId="77777777" w:rsidR="00A6532B" w:rsidRDefault="00A6532B">
      <w:pPr>
        <w:rPr>
          <w:rFonts w:ascii="Times New Roman" w:eastAsia="Times New Roman" w:hAnsi="Times New Roman"/>
          <w:sz w:val="24"/>
          <w:szCs w:val="24"/>
        </w:rPr>
      </w:pPr>
    </w:p>
    <w:p w14:paraId="27AAE9AF" w14:textId="77777777" w:rsidR="00A6532B" w:rsidRDefault="002E09D2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Procedure - Academic Acceleration</w:t>
      </w:r>
    </w:p>
    <w:p w14:paraId="62D3A48E" w14:textId="77777777" w:rsidR="00A6532B" w:rsidRDefault="00A6532B">
      <w:pPr>
        <w:rPr>
          <w:rFonts w:ascii="Times New Roman" w:eastAsia="Times New Roman" w:hAnsi="Times New Roman"/>
          <w:sz w:val="24"/>
          <w:szCs w:val="24"/>
        </w:rPr>
      </w:pPr>
    </w:p>
    <w:p w14:paraId="6C5CCE73" w14:textId="77777777" w:rsidR="00A6532B" w:rsidRDefault="002E09D2">
      <w:pPr>
        <w:pStyle w:val="NormalWeb"/>
      </w:pPr>
      <w:r>
        <w:rPr>
          <w:b/>
          <w:bCs/>
          <w:color w:val="222222"/>
          <w:sz w:val="17"/>
          <w:szCs w:val="17"/>
          <w:shd w:val="clear" w:color="auto" w:fill="FFFFFF"/>
        </w:rPr>
        <w:t>Academic Acceleration Incentive Program for High Schools</w:t>
      </w:r>
    </w:p>
    <w:p w14:paraId="3F68FD13" w14:textId="77777777" w:rsidR="00A6532B" w:rsidRDefault="002E09D2">
      <w:pPr>
        <w:pStyle w:val="NormalWeb"/>
      </w:pPr>
      <w:r>
        <w:rPr>
          <w:color w:val="222222"/>
          <w:sz w:val="17"/>
          <w:szCs w:val="17"/>
          <w:shd w:val="clear" w:color="auto" w:fill="FFFFFF"/>
        </w:rPr>
        <w:t>For one-time, competitive state grant purposes, the following students are considered to have earned dual high school and college credit in a course offered by a district high school:</w:t>
      </w:r>
      <w:r>
        <w:rPr>
          <w:shd w:val="clear" w:color="auto" w:fill="FFFFFF"/>
        </w:rPr>
        <w:t xml:space="preserve"> </w:t>
      </w:r>
    </w:p>
    <w:p w14:paraId="39C19FF0" w14:textId="77777777" w:rsidR="00A6532B" w:rsidRDefault="002E09D2">
      <w:pPr>
        <w:numPr>
          <w:ilvl w:val="0"/>
          <w:numId w:val="1"/>
        </w:numPr>
      </w:pPr>
      <w:r>
        <w:rPr>
          <w:color w:val="222222"/>
          <w:sz w:val="17"/>
          <w:szCs w:val="17"/>
          <w:shd w:val="clear" w:color="auto" w:fill="FFFFFF"/>
        </w:rPr>
        <w:t>Students who achieve a score of three or higher on an Advanced Placement (AP) examination;</w:t>
      </w:r>
    </w:p>
    <w:p w14:paraId="54219274" w14:textId="77777777" w:rsidR="00A6532B" w:rsidRDefault="002E09D2">
      <w:pPr>
        <w:numPr>
          <w:ilvl w:val="0"/>
          <w:numId w:val="1"/>
        </w:numPr>
      </w:pPr>
      <w:r>
        <w:rPr>
          <w:color w:val="222222"/>
          <w:sz w:val="17"/>
          <w:szCs w:val="17"/>
          <w:shd w:val="clear" w:color="auto" w:fill="FFFFFF"/>
        </w:rPr>
        <w:t>Students who achieve a score of four or higher on an examination of the International Baccalaureate (IB) diploma programme;</w:t>
      </w:r>
    </w:p>
    <w:p w14:paraId="26FC44EF" w14:textId="77777777" w:rsidR="00A6532B" w:rsidRDefault="002E09D2">
      <w:pPr>
        <w:numPr>
          <w:ilvl w:val="0"/>
          <w:numId w:val="1"/>
        </w:numPr>
      </w:pPr>
      <w:r>
        <w:rPr>
          <w:color w:val="222222"/>
          <w:sz w:val="17"/>
          <w:szCs w:val="17"/>
          <w:shd w:val="clear" w:color="auto" w:fill="FFFFFF"/>
        </w:rPr>
        <w:t>Students who successfully complete a Cambridge Advanced International Certificate of Education examination;</w:t>
      </w:r>
    </w:p>
    <w:p w14:paraId="36ED41AB" w14:textId="77777777" w:rsidR="00A6532B" w:rsidRDefault="002E09D2">
      <w:pPr>
        <w:numPr>
          <w:ilvl w:val="0"/>
          <w:numId w:val="1"/>
        </w:numPr>
      </w:pPr>
      <w:r>
        <w:rPr>
          <w:color w:val="222222"/>
          <w:sz w:val="17"/>
          <w:szCs w:val="17"/>
          <w:shd w:val="clear" w:color="auto" w:fill="FFFFFF"/>
        </w:rPr>
        <w:t>Students who successfully complete a course through the college in the high school program under Chapter 28A.600 RCW or Laws of 2021, ch. 71, § 1 and are awarded credit by the partnering institution of higher education; and</w:t>
      </w:r>
    </w:p>
    <w:p w14:paraId="46FD037B" w14:textId="77777777" w:rsidR="00A6532B" w:rsidRDefault="002E09D2">
      <w:pPr>
        <w:numPr>
          <w:ilvl w:val="0"/>
          <w:numId w:val="1"/>
        </w:numPr>
      </w:pPr>
      <w:r>
        <w:rPr>
          <w:color w:val="222222"/>
          <w:sz w:val="17"/>
          <w:szCs w:val="17"/>
          <w:shd w:val="clear" w:color="auto" w:fill="FFFFFF"/>
        </w:rPr>
        <w:t>Students who satisfy the dual enrollment and class performance requirements to earn college credit through a tech prep course.</w:t>
      </w:r>
      <w:r>
        <w:rPr>
          <w:shd w:val="clear" w:color="auto" w:fill="FFFFFF"/>
        </w:rPr>
        <w:t xml:space="preserve"> </w:t>
      </w:r>
    </w:p>
    <w:p w14:paraId="737B4EA9" w14:textId="77777777" w:rsidR="00A6532B" w:rsidRDefault="002E09D2">
      <w:pPr>
        <w:pStyle w:val="NormalWeb"/>
      </w:pPr>
      <w:r>
        <w:rPr>
          <w:color w:val="222222"/>
          <w:sz w:val="17"/>
          <w:szCs w:val="17"/>
          <w:shd w:val="clear" w:color="auto" w:fill="FFFFFF"/>
        </w:rPr>
        <w:t xml:space="preserve">Online courses for students to earn dual high school and college credit at no cost to the student are considered to be offered by the high school. </w:t>
      </w:r>
    </w:p>
    <w:p w14:paraId="5C85A673" w14:textId="77777777" w:rsidR="00A6532B" w:rsidRDefault="002E09D2">
      <w:pPr>
        <w:pStyle w:val="NormalWeb"/>
      </w:pPr>
      <w:r>
        <w:t> </w:t>
      </w:r>
    </w:p>
    <w:p w14:paraId="0E4F69C4" w14:textId="77777777" w:rsidR="00A6532B" w:rsidRDefault="002E09D2">
      <w:pPr>
        <w:pStyle w:val="NormalWeb"/>
      </w:pPr>
      <w:r>
        <w:rPr>
          <w:b/>
          <w:bCs/>
          <w:color w:val="222222"/>
          <w:sz w:val="17"/>
          <w:szCs w:val="17"/>
          <w:shd w:val="clear" w:color="auto" w:fill="FFFFFF"/>
        </w:rPr>
        <w:t>Reporting requirement</w:t>
      </w:r>
    </w:p>
    <w:p w14:paraId="17992B78" w14:textId="77777777" w:rsidR="00A6532B" w:rsidRDefault="002E09D2">
      <w:pPr>
        <w:pStyle w:val="NormalWeb"/>
      </w:pPr>
      <w:r>
        <w:rPr>
          <w:color w:val="222222"/>
          <w:sz w:val="17"/>
          <w:szCs w:val="17"/>
          <w:shd w:val="clear" w:color="auto" w:fill="FFFFFF"/>
        </w:rPr>
        <w:t>The district will annually report the following information regarding dual credit programs to the Office of the Superintendent of Public Instruction:</w:t>
      </w:r>
    </w:p>
    <w:p w14:paraId="6A2554F6" w14:textId="77777777" w:rsidR="00A6532B" w:rsidRDefault="002E09D2">
      <w:pPr>
        <w:numPr>
          <w:ilvl w:val="0"/>
          <w:numId w:val="2"/>
        </w:numPr>
      </w:pPr>
      <w:r>
        <w:rPr>
          <w:color w:val="222222"/>
          <w:sz w:val="17"/>
          <w:szCs w:val="17"/>
          <w:shd w:val="clear" w:color="auto" w:fill="FFFFFF"/>
        </w:rPr>
        <w:t>Students who achieve a score of three or higher on an Advanced Placement (AP) examination;</w:t>
      </w:r>
    </w:p>
    <w:p w14:paraId="35394E50" w14:textId="77777777" w:rsidR="00A6532B" w:rsidRDefault="002E09D2">
      <w:pPr>
        <w:numPr>
          <w:ilvl w:val="0"/>
          <w:numId w:val="2"/>
        </w:numPr>
      </w:pPr>
      <w:r>
        <w:rPr>
          <w:color w:val="222222"/>
          <w:sz w:val="17"/>
          <w:szCs w:val="17"/>
          <w:shd w:val="clear" w:color="auto" w:fill="FFFFFF"/>
        </w:rPr>
        <w:t>Students who achieve a score of four or higher on an examination of the International Baccalaureate (IB) diploma programme;</w:t>
      </w:r>
    </w:p>
    <w:p w14:paraId="727E30F2" w14:textId="77777777" w:rsidR="00A6532B" w:rsidRDefault="002E09D2">
      <w:pPr>
        <w:numPr>
          <w:ilvl w:val="0"/>
          <w:numId w:val="2"/>
        </w:numPr>
      </w:pPr>
      <w:r>
        <w:rPr>
          <w:color w:val="222222"/>
          <w:sz w:val="17"/>
          <w:szCs w:val="17"/>
          <w:shd w:val="clear" w:color="auto" w:fill="FFFFFF"/>
        </w:rPr>
        <w:t>Students who successfully complete a Cambridge Advanced International Certificate of Education examination;</w:t>
      </w:r>
    </w:p>
    <w:p w14:paraId="6E28A49B" w14:textId="77777777" w:rsidR="00A6532B" w:rsidRDefault="002E09D2">
      <w:pPr>
        <w:numPr>
          <w:ilvl w:val="0"/>
          <w:numId w:val="2"/>
        </w:numPr>
      </w:pPr>
      <w:r>
        <w:rPr>
          <w:color w:val="222222"/>
          <w:sz w:val="17"/>
          <w:szCs w:val="17"/>
          <w:shd w:val="clear" w:color="auto" w:fill="FFFFFF"/>
        </w:rPr>
        <w:t>Students who successfully complete a course through the college in the high school program under RCW 28A.600.290 and are awarded credit by the partnering institution of higher education;</w:t>
      </w:r>
    </w:p>
    <w:p w14:paraId="283FAF58" w14:textId="77777777" w:rsidR="00A6532B" w:rsidRDefault="002E09D2">
      <w:pPr>
        <w:numPr>
          <w:ilvl w:val="0"/>
          <w:numId w:val="2"/>
        </w:numPr>
      </w:pPr>
      <w:r>
        <w:rPr>
          <w:color w:val="222222"/>
          <w:sz w:val="17"/>
          <w:szCs w:val="17"/>
          <w:shd w:val="clear" w:color="auto" w:fill="FFFFFF"/>
        </w:rPr>
        <w:t>Students who satisfy the dual enrollment and class performance requirements to earn college credit through a tech prep course; and</w:t>
      </w:r>
    </w:p>
    <w:p w14:paraId="2E367F23" w14:textId="77777777" w:rsidR="00A6532B" w:rsidRDefault="002E09D2">
      <w:pPr>
        <w:numPr>
          <w:ilvl w:val="0"/>
          <w:numId w:val="2"/>
        </w:numPr>
      </w:pPr>
      <w:r>
        <w:rPr>
          <w:color w:val="222222"/>
          <w:sz w:val="17"/>
          <w:szCs w:val="17"/>
          <w:shd w:val="clear" w:color="auto" w:fill="FFFFFF"/>
        </w:rPr>
        <w:t>Students who successfully complete a course through the Running Start program under RCW 28A.600.300 and are awarded credit by the institution of higher education.</w:t>
      </w:r>
    </w:p>
    <w:p w14:paraId="7BB83615" w14:textId="77777777" w:rsidR="00A6532B" w:rsidRDefault="00A653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64FFB1B2" w14:textId="1349B658" w:rsidR="00A6532B" w:rsidRDefault="002E09D2">
      <w:pPr>
        <w:pStyle w:val="NormalWeb"/>
      </w:pPr>
      <w:r>
        <w:t xml:space="preserve">Adoption Date: </w:t>
      </w:r>
      <w:r>
        <w:br/>
        <w:t xml:space="preserve">Classification: </w:t>
      </w:r>
      <w:r>
        <w:rPr>
          <w:b/>
          <w:bCs/>
        </w:rPr>
        <w:t>Essential</w:t>
      </w:r>
      <w:r>
        <w:br/>
        <w:t xml:space="preserve">Revised Dates: </w:t>
      </w:r>
      <w:r>
        <w:rPr>
          <w:b/>
          <w:bCs/>
        </w:rPr>
        <w:t>09/01/2013; 06.21</w:t>
      </w:r>
      <w:r w:rsidR="00EB5493">
        <w:rPr>
          <w:b/>
          <w:bCs/>
        </w:rPr>
        <w:t>; 10.21</w:t>
      </w:r>
    </w:p>
    <w:p w14:paraId="4050F36C" w14:textId="77777777" w:rsidR="00A6532B" w:rsidRDefault="00A6532B">
      <w:pPr>
        <w:rPr>
          <w:rFonts w:ascii="Times New Roman" w:eastAsia="Times New Roman" w:hAnsi="Times New Roman"/>
          <w:sz w:val="24"/>
          <w:szCs w:val="24"/>
        </w:rPr>
      </w:pPr>
    </w:p>
    <w:p w14:paraId="7C975670" w14:textId="77777777" w:rsidR="00A6532B" w:rsidRDefault="00EB54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77B32513">
          <v:rect id="_x0000_i1026" style="width:0;height:1.5pt" o:hralign="center" o:hrstd="t" o:hr="t" fillcolor="#a0a0a0" stroked="f"/>
        </w:pict>
      </w:r>
    </w:p>
    <w:p w14:paraId="54DC0F95" w14:textId="77777777" w:rsidR="002E09D2" w:rsidRDefault="002E09D2">
      <w:pPr>
        <w:pStyle w:val="NormalWeb"/>
        <w:rPr>
          <w:color w:val="999999"/>
        </w:rPr>
      </w:pPr>
      <w:r>
        <w:rPr>
          <w:color w:val="999999"/>
        </w:rPr>
        <w:t>© 2020-2025 Washington State School Directors' Association. All rights reserved.</w:t>
      </w:r>
    </w:p>
    <w:sectPr w:rsidR="002E0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B605D"/>
    <w:multiLevelType w:val="multilevel"/>
    <w:tmpl w:val="1CCC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E5E7A"/>
    <w:multiLevelType w:val="multilevel"/>
    <w:tmpl w:val="641C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13"/>
    <w:rsid w:val="002E09D2"/>
    <w:rsid w:val="00A6532B"/>
    <w:rsid w:val="00D54313"/>
    <w:rsid w:val="00E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991EC"/>
  <w15:chartTrackingRefBased/>
  <w15:docId w15:val="{6F50099A-5754-4C9C-B612-7994EDE8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rPr>
      <w:rFonts w:ascii="Verdana" w:eastAsia="Verdana" w:hAnsi="Verdana"/>
      <w:szCs w:val="22"/>
    </w:rPr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Driessen</dc:creator>
  <cp:keywords/>
  <dc:description/>
  <cp:lastModifiedBy>Eric Driessen</cp:lastModifiedBy>
  <cp:revision>3</cp:revision>
  <dcterms:created xsi:type="dcterms:W3CDTF">2021-09-23T14:24:00Z</dcterms:created>
  <dcterms:modified xsi:type="dcterms:W3CDTF">2021-10-28T18:38:00Z</dcterms:modified>
</cp:coreProperties>
</file>